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pPr>
      <w:r>
        <w:rPr/>
        <w:t>Modèle de statuts d'association de financement</w:t>
      </w:r>
      <w:r>
        <w:rPr>
          <w:spacing w:val="-62"/>
        </w:rPr>
        <w:t> </w:t>
      </w:r>
      <w:r>
        <w:rPr/>
        <w:t>électorale.</w:t>
      </w:r>
    </w:p>
    <w:p>
      <w:pPr>
        <w:pStyle w:val="BodyText"/>
        <w:spacing w:before="4"/>
        <w:ind w:left="0"/>
        <w:jc w:val="left"/>
        <w:rPr>
          <w:b/>
          <w:sz w:val="48"/>
        </w:rPr>
      </w:pPr>
    </w:p>
    <w:p>
      <w:pPr>
        <w:spacing w:before="0"/>
        <w:ind w:left="3816" w:right="4003" w:firstLine="0"/>
        <w:jc w:val="center"/>
        <w:rPr>
          <w:b/>
          <w:sz w:val="36"/>
        </w:rPr>
      </w:pPr>
      <w:r>
        <w:rPr>
          <w:b/>
          <w:sz w:val="36"/>
        </w:rPr>
        <w:t>STATUTS</w:t>
      </w:r>
    </w:p>
    <w:p>
      <w:pPr>
        <w:spacing w:before="263"/>
        <w:ind w:left="114" w:right="0" w:firstLine="0"/>
        <w:jc w:val="left"/>
        <w:rPr>
          <w:i/>
          <w:sz w:val="24"/>
        </w:rPr>
      </w:pPr>
      <w:r>
        <w:rPr>
          <w:i/>
          <w:sz w:val="24"/>
        </w:rPr>
        <w:t>Article 1er.</w:t>
      </w:r>
    </w:p>
    <w:p>
      <w:pPr>
        <w:pStyle w:val="BodyText"/>
        <w:ind w:left="0"/>
        <w:jc w:val="left"/>
        <w:rPr>
          <w:i/>
          <w:sz w:val="25"/>
        </w:rPr>
      </w:pPr>
    </w:p>
    <w:p>
      <w:pPr>
        <w:pStyle w:val="BodyText"/>
        <w:ind w:right="305"/>
        <w:jc w:val="left"/>
      </w:pPr>
      <w:r>
        <w:rPr>
          <w:spacing w:val="-6"/>
        </w:rPr>
        <w:t>Il </w:t>
      </w:r>
      <w:r>
        <w:rPr/>
        <w:t>est fondé entre  les  adhérents  aux  présents  statuts  une  association  régie  par  la  loi  du 1</w:t>
      </w:r>
      <w:r>
        <w:rPr>
          <w:vertAlign w:val="superscript"/>
        </w:rPr>
        <w:t>er</w:t>
      </w:r>
      <w:r>
        <w:rPr>
          <w:vertAlign w:val="baseline"/>
        </w:rPr>
        <w:t> juillet 1901 et soumise aux dispositions du code électoral applicables en matière de financement et</w:t>
      </w:r>
      <w:r>
        <w:rPr>
          <w:spacing w:val="-1"/>
          <w:vertAlign w:val="baseline"/>
        </w:rPr>
        <w:t> </w:t>
      </w:r>
      <w:r>
        <w:rPr>
          <w:vertAlign w:val="baseline"/>
        </w:rPr>
        <w:t>plafonnement</w:t>
      </w:r>
      <w:r>
        <w:rPr>
          <w:spacing w:val="-1"/>
          <w:vertAlign w:val="baseline"/>
        </w:rPr>
        <w:t> </w:t>
      </w:r>
      <w:r>
        <w:rPr>
          <w:vertAlign w:val="baseline"/>
        </w:rPr>
        <w:t>des</w:t>
      </w:r>
      <w:r>
        <w:rPr>
          <w:spacing w:val="-1"/>
          <w:vertAlign w:val="baseline"/>
        </w:rPr>
        <w:t> </w:t>
      </w:r>
      <w:r>
        <w:rPr>
          <w:vertAlign w:val="baseline"/>
        </w:rPr>
        <w:t>dépenses</w:t>
      </w:r>
      <w:r>
        <w:rPr>
          <w:spacing w:val="1"/>
          <w:vertAlign w:val="baseline"/>
        </w:rPr>
        <w:t> </w:t>
      </w:r>
      <w:r>
        <w:rPr>
          <w:vertAlign w:val="baseline"/>
        </w:rPr>
        <w:t>électorales.</w:t>
      </w:r>
      <w:r>
        <w:rPr>
          <w:spacing w:val="-6"/>
          <w:vertAlign w:val="baseline"/>
        </w:rPr>
        <w:t> </w:t>
      </w:r>
      <w:r>
        <w:rPr>
          <w:vertAlign w:val="baseline"/>
        </w:rPr>
        <w:t>Cette</w:t>
      </w:r>
      <w:r>
        <w:rPr>
          <w:spacing w:val="-10"/>
          <w:vertAlign w:val="baseline"/>
        </w:rPr>
        <w:t> </w:t>
      </w:r>
      <w:r>
        <w:rPr>
          <w:vertAlign w:val="baseline"/>
        </w:rPr>
        <w:t>association</w:t>
      </w:r>
      <w:r>
        <w:rPr>
          <w:spacing w:val="-6"/>
          <w:vertAlign w:val="baseline"/>
        </w:rPr>
        <w:t> </w:t>
      </w:r>
      <w:r>
        <w:rPr>
          <w:vertAlign w:val="baseline"/>
        </w:rPr>
        <w:t>a</w:t>
      </w:r>
      <w:r>
        <w:rPr>
          <w:spacing w:val="-7"/>
          <w:vertAlign w:val="baseline"/>
        </w:rPr>
        <w:t> </w:t>
      </w:r>
      <w:r>
        <w:rPr>
          <w:vertAlign w:val="baseline"/>
        </w:rPr>
        <w:t>pour</w:t>
      </w:r>
      <w:r>
        <w:rPr>
          <w:spacing w:val="-9"/>
          <w:vertAlign w:val="baseline"/>
        </w:rPr>
        <w:t> </w:t>
      </w:r>
      <w:r>
        <w:rPr>
          <w:vertAlign w:val="baseline"/>
        </w:rPr>
        <w:t>titre</w:t>
      </w:r>
      <w:r>
        <w:rPr>
          <w:spacing w:val="-10"/>
          <w:vertAlign w:val="baseline"/>
        </w:rPr>
        <w:t> </w:t>
      </w:r>
      <w:r>
        <w:rPr>
          <w:vertAlign w:val="baseline"/>
        </w:rPr>
        <w:t>:</w:t>
      </w:r>
      <w:r>
        <w:rPr>
          <w:spacing w:val="-6"/>
          <w:vertAlign w:val="baseline"/>
        </w:rPr>
        <w:t> </w:t>
      </w:r>
      <w:r>
        <w:rPr>
          <w:vertAlign w:val="baseline"/>
        </w:rPr>
        <w:t>...</w:t>
      </w:r>
    </w:p>
    <w:p>
      <w:pPr>
        <w:pStyle w:val="BodyText"/>
        <w:spacing w:before="4"/>
        <w:ind w:left="0"/>
        <w:jc w:val="left"/>
        <w:rPr>
          <w:sz w:val="23"/>
        </w:rPr>
      </w:pPr>
    </w:p>
    <w:p>
      <w:pPr>
        <w:spacing w:before="0"/>
        <w:ind w:left="114" w:right="0" w:firstLine="0"/>
        <w:jc w:val="left"/>
        <w:rPr>
          <w:sz w:val="24"/>
        </w:rPr>
      </w:pPr>
      <w:r>
        <w:rPr>
          <w:i/>
          <w:sz w:val="24"/>
        </w:rPr>
        <w:t>Article 2 </w:t>
      </w:r>
      <w:r>
        <w:rPr>
          <w:sz w:val="24"/>
        </w:rPr>
        <w:t>: Objet.</w:t>
      </w:r>
    </w:p>
    <w:p>
      <w:pPr>
        <w:pStyle w:val="BodyText"/>
        <w:spacing w:before="6"/>
        <w:ind w:left="0"/>
        <w:jc w:val="left"/>
        <w:rPr>
          <w:sz w:val="25"/>
        </w:rPr>
      </w:pPr>
    </w:p>
    <w:p>
      <w:pPr>
        <w:pStyle w:val="BodyText"/>
        <w:tabs>
          <w:tab w:pos="6964" w:val="left" w:leader="dot"/>
        </w:tabs>
        <w:spacing w:line="275" w:lineRule="exact"/>
        <w:jc w:val="left"/>
      </w:pPr>
      <w:r>
        <w:rPr/>
        <w:t>Cette association a pour objet exclusif d'être le mandataire de </w:t>
      </w:r>
      <w:r>
        <w:rPr>
          <w:spacing w:val="4"/>
        </w:rPr>
        <w:t> </w:t>
      </w:r>
      <w:r>
        <w:rPr/>
        <w:t>M.</w:t>
      </w:r>
      <w:r>
        <w:rPr>
          <w:spacing w:val="7"/>
        </w:rPr>
        <w:t> </w:t>
      </w:r>
      <w:r>
        <w:rPr/>
        <w:t>X.</w:t>
        <w:tab/>
        <w:t>pour le financement</w:t>
      </w:r>
      <w:r>
        <w:rPr>
          <w:spacing w:val="26"/>
        </w:rPr>
        <w:t> </w:t>
      </w:r>
      <w:r>
        <w:rPr/>
        <w:t>de</w:t>
      </w:r>
    </w:p>
    <w:p>
      <w:pPr>
        <w:pStyle w:val="BodyText"/>
        <w:spacing w:line="275" w:lineRule="exact"/>
        <w:jc w:val="left"/>
      </w:pPr>
      <w:r>
        <w:rPr/>
        <w:t>sa campagne pour l'élection (type) prévue pour le (date) dans la circonscription de………….</w:t>
      </w:r>
    </w:p>
    <w:p>
      <w:pPr>
        <w:pStyle w:val="BodyText"/>
        <w:spacing w:before="9"/>
        <w:ind w:left="0"/>
        <w:jc w:val="left"/>
        <w:rPr>
          <w:sz w:val="23"/>
        </w:rPr>
      </w:pPr>
    </w:p>
    <w:p>
      <w:pPr>
        <w:spacing w:before="0"/>
        <w:ind w:left="114" w:right="0" w:firstLine="0"/>
        <w:jc w:val="left"/>
        <w:rPr>
          <w:sz w:val="24"/>
        </w:rPr>
      </w:pPr>
      <w:r>
        <w:rPr>
          <w:i/>
          <w:sz w:val="24"/>
        </w:rPr>
        <w:t>Article 3 </w:t>
      </w:r>
      <w:r>
        <w:rPr>
          <w:sz w:val="24"/>
        </w:rPr>
        <w:t>: Siège social.</w:t>
      </w:r>
    </w:p>
    <w:p>
      <w:pPr>
        <w:pStyle w:val="BodyText"/>
        <w:ind w:left="0"/>
        <w:jc w:val="left"/>
      </w:pPr>
    </w:p>
    <w:p>
      <w:pPr>
        <w:pStyle w:val="BodyText"/>
        <w:jc w:val="left"/>
      </w:pPr>
      <w:r>
        <w:rPr/>
        <w:t>Le siège social est fixé à ...</w:t>
      </w:r>
    </w:p>
    <w:p>
      <w:pPr>
        <w:pStyle w:val="BodyText"/>
        <w:ind w:right="305"/>
        <w:jc w:val="left"/>
      </w:pPr>
      <w:r>
        <w:rPr/>
        <w:t>Il pourra être transféré par simple décision du bureau ratifiée par l'assemblée générale. Copie de cette décision sera adressée à la préfecture de l'ancien et du nouveau siège.</w:t>
      </w:r>
    </w:p>
    <w:p>
      <w:pPr>
        <w:pStyle w:val="BodyText"/>
        <w:spacing w:before="5"/>
        <w:ind w:left="0"/>
        <w:jc w:val="left"/>
      </w:pPr>
    </w:p>
    <w:p>
      <w:pPr>
        <w:spacing w:before="0"/>
        <w:ind w:left="114" w:right="0" w:firstLine="0"/>
        <w:jc w:val="left"/>
        <w:rPr>
          <w:sz w:val="24"/>
        </w:rPr>
      </w:pPr>
      <w:r>
        <w:rPr>
          <w:i/>
          <w:sz w:val="24"/>
        </w:rPr>
        <w:t>Article 4 </w:t>
      </w:r>
      <w:r>
        <w:rPr>
          <w:sz w:val="24"/>
        </w:rPr>
        <w:t>: Durée.</w:t>
      </w:r>
    </w:p>
    <w:p>
      <w:pPr>
        <w:pStyle w:val="BodyText"/>
        <w:ind w:left="0"/>
        <w:jc w:val="left"/>
        <w:rPr>
          <w:sz w:val="25"/>
        </w:rPr>
      </w:pPr>
    </w:p>
    <w:p>
      <w:pPr>
        <w:pStyle w:val="BodyText"/>
        <w:spacing w:line="237" w:lineRule="auto"/>
        <w:ind w:right="298"/>
      </w:pPr>
      <w:r>
        <w:rPr/>
        <w:t>L'association est constituée pour une durée n'excédant pas six mois après le dépôt à la Commission nationale des comptes de campagne et des financements politiques, par le candidat, de son compte de campagne ; ce dépôt doit intervenir au plus tard avant dix-huit heures le dixième vendredi suivant le tour de scrutin où l'élection est acquise.</w:t>
      </w:r>
    </w:p>
    <w:p>
      <w:pPr>
        <w:pStyle w:val="BodyText"/>
        <w:spacing w:before="5"/>
        <w:ind w:right="299"/>
      </w:pPr>
      <w:r>
        <w:rPr/>
        <w:t>Si le candidat ne dépose pas sa candidature, l'association est dissoute de plein droit à l'expiration du délai légal de dépôt des candidatures.</w:t>
      </w:r>
    </w:p>
    <w:p>
      <w:pPr>
        <w:pStyle w:val="BodyText"/>
        <w:spacing w:before="2"/>
        <w:ind w:left="0"/>
        <w:jc w:val="left"/>
      </w:pPr>
    </w:p>
    <w:p>
      <w:pPr>
        <w:spacing w:before="0"/>
        <w:ind w:left="114" w:right="0" w:firstLine="0"/>
        <w:jc w:val="both"/>
        <w:rPr>
          <w:sz w:val="24"/>
        </w:rPr>
      </w:pPr>
      <w:r>
        <w:rPr>
          <w:i/>
          <w:sz w:val="24"/>
        </w:rPr>
        <w:t>Article 5 </w:t>
      </w:r>
      <w:r>
        <w:rPr>
          <w:sz w:val="24"/>
        </w:rPr>
        <w:t>: Les membres.</w:t>
      </w:r>
    </w:p>
    <w:p>
      <w:pPr>
        <w:pStyle w:val="BodyText"/>
        <w:spacing w:before="5"/>
        <w:ind w:left="0"/>
        <w:jc w:val="left"/>
      </w:pPr>
    </w:p>
    <w:p>
      <w:pPr>
        <w:pStyle w:val="BodyText"/>
      </w:pPr>
      <w:r>
        <w:rPr/>
        <w:t>L'association se compose de membres actifs.</w:t>
      </w:r>
    </w:p>
    <w:p>
      <w:pPr>
        <w:pStyle w:val="BodyText"/>
        <w:ind w:right="301"/>
      </w:pPr>
      <w:r>
        <w:rPr/>
        <w:t>Pour faire partie de l'association, il faut être agréé par le bureau qui statue lors de chacune de ses réunions sur les demandes d'admission présentées.</w:t>
      </w:r>
    </w:p>
    <w:p>
      <w:pPr>
        <w:pStyle w:val="BodyText"/>
      </w:pPr>
      <w:r>
        <w:rPr/>
        <w:t>La qualité de membre se perd par :</w:t>
      </w:r>
    </w:p>
    <w:p>
      <w:pPr>
        <w:pStyle w:val="ListParagraph"/>
        <w:numPr>
          <w:ilvl w:val="0"/>
          <w:numId w:val="1"/>
        </w:numPr>
        <w:tabs>
          <w:tab w:pos="251" w:val="left" w:leader="none"/>
        </w:tabs>
        <w:spacing w:line="240" w:lineRule="auto" w:before="0" w:after="0"/>
        <w:ind w:left="250" w:right="0" w:hanging="137"/>
        <w:jc w:val="both"/>
        <w:rPr>
          <w:sz w:val="24"/>
        </w:rPr>
      </w:pPr>
      <w:r>
        <w:rPr>
          <w:sz w:val="24"/>
        </w:rPr>
        <w:t>la démission</w:t>
      </w:r>
      <w:r>
        <w:rPr>
          <w:spacing w:val="-17"/>
          <w:sz w:val="24"/>
        </w:rPr>
        <w:t> </w:t>
      </w:r>
      <w:r>
        <w:rPr>
          <w:sz w:val="24"/>
        </w:rPr>
        <w:t>;</w:t>
      </w:r>
    </w:p>
    <w:p>
      <w:pPr>
        <w:pStyle w:val="ListParagraph"/>
        <w:numPr>
          <w:ilvl w:val="0"/>
          <w:numId w:val="1"/>
        </w:numPr>
        <w:tabs>
          <w:tab w:pos="251" w:val="left" w:leader="none"/>
        </w:tabs>
        <w:spacing w:line="240" w:lineRule="auto" w:before="0" w:after="0"/>
        <w:ind w:left="250" w:right="0" w:hanging="137"/>
        <w:jc w:val="both"/>
        <w:rPr>
          <w:sz w:val="24"/>
        </w:rPr>
      </w:pPr>
      <w:r>
        <w:rPr>
          <w:sz w:val="24"/>
        </w:rPr>
        <w:t>le décès</w:t>
      </w:r>
      <w:r>
        <w:rPr>
          <w:spacing w:val="-15"/>
          <w:sz w:val="24"/>
        </w:rPr>
        <w:t> </w:t>
      </w:r>
      <w:r>
        <w:rPr>
          <w:sz w:val="24"/>
        </w:rPr>
        <w:t>;</w:t>
      </w:r>
    </w:p>
    <w:p>
      <w:pPr>
        <w:pStyle w:val="ListParagraph"/>
        <w:numPr>
          <w:ilvl w:val="0"/>
          <w:numId w:val="1"/>
        </w:numPr>
        <w:tabs>
          <w:tab w:pos="251" w:val="left" w:leader="none"/>
        </w:tabs>
        <w:spacing w:line="240" w:lineRule="auto" w:before="0" w:after="0"/>
        <w:ind w:left="250" w:right="0" w:hanging="137"/>
        <w:jc w:val="both"/>
        <w:rPr>
          <w:sz w:val="24"/>
        </w:rPr>
      </w:pPr>
      <w:r>
        <w:rPr>
          <w:sz w:val="24"/>
        </w:rPr>
        <w:t>la radiation prononcée par le</w:t>
      </w:r>
      <w:r>
        <w:rPr>
          <w:spacing w:val="-42"/>
          <w:sz w:val="24"/>
        </w:rPr>
        <w:t> </w:t>
      </w:r>
      <w:r>
        <w:rPr>
          <w:sz w:val="24"/>
        </w:rPr>
        <w:t>bureau.</w:t>
      </w:r>
    </w:p>
    <w:p>
      <w:pPr>
        <w:pStyle w:val="BodyText"/>
        <w:ind w:right="299"/>
      </w:pPr>
      <w:r>
        <w:rPr/>
        <w:t>Le candidat ne peut être membre de l'association de financement qui le soutient ; dans le cas d'un scrutin de liste, aucun membre de la liste ne peut être membre de l'association de financement qui soutient le candidat tête de la liste sur laquelle il figure. En cas de scrutin binominal, aucun des membres du binôme et aucun des remplaçants ne peut être membre de l'association de financement.</w:t>
      </w:r>
    </w:p>
    <w:p>
      <w:pPr>
        <w:spacing w:after="0"/>
        <w:sectPr>
          <w:type w:val="continuous"/>
          <w:pgSz w:w="11900" w:h="16860"/>
          <w:pgMar w:top="1340" w:bottom="280" w:left="1300" w:right="1100"/>
        </w:sectPr>
      </w:pPr>
    </w:p>
    <w:p>
      <w:pPr>
        <w:spacing w:before="70"/>
        <w:ind w:left="118" w:right="0" w:firstLine="0"/>
        <w:jc w:val="both"/>
        <w:rPr>
          <w:sz w:val="24"/>
        </w:rPr>
      </w:pPr>
      <w:r>
        <w:rPr>
          <w:i/>
          <w:sz w:val="24"/>
        </w:rPr>
        <w:t>Article 6 </w:t>
      </w:r>
      <w:r>
        <w:rPr>
          <w:sz w:val="24"/>
        </w:rPr>
        <w:t>: Administration.</w:t>
      </w:r>
    </w:p>
    <w:p>
      <w:pPr>
        <w:pStyle w:val="BodyText"/>
        <w:spacing w:before="11"/>
        <w:ind w:left="0"/>
        <w:jc w:val="left"/>
        <w:rPr>
          <w:sz w:val="31"/>
        </w:rPr>
      </w:pPr>
    </w:p>
    <w:p>
      <w:pPr>
        <w:pStyle w:val="BodyText"/>
        <w:ind w:right="158"/>
      </w:pPr>
      <w:r>
        <w:rPr/>
        <w:t>L'association est dirigée par un bureau de […] membres ; le bureau élit en son sein  </w:t>
      </w:r>
      <w:r>
        <w:rPr>
          <w:spacing w:val="-3"/>
        </w:rPr>
        <w:t>un </w:t>
      </w:r>
      <w:r>
        <w:rPr/>
        <w:t>président et un trésorier autre que le candidat, son suppléant (élections législatives), les colistiers</w:t>
      </w:r>
      <w:r>
        <w:rPr>
          <w:spacing w:val="-12"/>
        </w:rPr>
        <w:t> </w:t>
      </w:r>
      <w:r>
        <w:rPr/>
        <w:t>(scrutin</w:t>
      </w:r>
      <w:r>
        <w:rPr>
          <w:spacing w:val="-11"/>
        </w:rPr>
        <w:t> </w:t>
      </w:r>
      <w:r>
        <w:rPr/>
        <w:t>de</w:t>
      </w:r>
      <w:r>
        <w:rPr>
          <w:spacing w:val="-14"/>
        </w:rPr>
        <w:t> </w:t>
      </w:r>
      <w:r>
        <w:rPr/>
        <w:t>liste)</w:t>
      </w:r>
      <w:r>
        <w:rPr>
          <w:spacing w:val="-3"/>
        </w:rPr>
        <w:t> </w:t>
      </w:r>
      <w:r>
        <w:rPr/>
        <w:t>ou</w:t>
      </w:r>
      <w:r>
        <w:rPr>
          <w:spacing w:val="-5"/>
        </w:rPr>
        <w:t> </w:t>
      </w:r>
      <w:r>
        <w:rPr/>
        <w:t>le</w:t>
      </w:r>
      <w:r>
        <w:rPr>
          <w:spacing w:val="-5"/>
        </w:rPr>
        <w:t> </w:t>
      </w:r>
      <w:r>
        <w:rPr/>
        <w:t>binôme</w:t>
      </w:r>
      <w:r>
        <w:rPr>
          <w:spacing w:val="-5"/>
        </w:rPr>
        <w:t> </w:t>
      </w:r>
      <w:r>
        <w:rPr/>
        <w:t>de</w:t>
      </w:r>
      <w:r>
        <w:rPr>
          <w:spacing w:val="-5"/>
        </w:rPr>
        <w:t> </w:t>
      </w:r>
      <w:r>
        <w:rPr/>
        <w:t>candidats</w:t>
      </w:r>
      <w:r>
        <w:rPr>
          <w:spacing w:val="-2"/>
        </w:rPr>
        <w:t> </w:t>
      </w:r>
      <w:r>
        <w:rPr/>
        <w:t>(élections</w:t>
      </w:r>
      <w:r>
        <w:rPr>
          <w:spacing w:val="-4"/>
        </w:rPr>
        <w:t> </w:t>
      </w:r>
      <w:r>
        <w:rPr/>
        <w:t>départementales).</w:t>
      </w:r>
    </w:p>
    <w:p>
      <w:pPr>
        <w:pStyle w:val="BodyText"/>
        <w:ind w:right="159"/>
      </w:pPr>
      <w:r>
        <w:rPr/>
        <w:t>L'expert-comptable chargé de la présentation du compte de campagne du candidat qui bénéficie du soutien de l'association de financement créée en application de l'article 1er, ne peut être désigné ni président, ni trésorier de cette association.</w:t>
      </w:r>
    </w:p>
    <w:p>
      <w:pPr>
        <w:pStyle w:val="BodyText"/>
        <w:ind w:right="108"/>
      </w:pPr>
      <w:r>
        <w:rPr>
          <w:spacing w:val="-3"/>
        </w:rPr>
        <w:t>Les </w:t>
      </w:r>
      <w:r>
        <w:rPr/>
        <w:t>décisions du bureau sont prises à la majorité des voix ; en cas de partage des voix, la voix</w:t>
      </w:r>
      <w:r>
        <w:rPr>
          <w:spacing w:val="-30"/>
        </w:rPr>
        <w:t> </w:t>
      </w:r>
      <w:r>
        <w:rPr/>
        <w:t>du président est</w:t>
      </w:r>
      <w:r>
        <w:rPr>
          <w:spacing w:val="-21"/>
        </w:rPr>
        <w:t> </w:t>
      </w:r>
      <w:r>
        <w:rPr/>
        <w:t>prépondérante.</w:t>
      </w:r>
    </w:p>
    <w:p>
      <w:pPr>
        <w:pStyle w:val="BodyText"/>
        <w:spacing w:before="3"/>
        <w:ind w:left="0"/>
        <w:jc w:val="left"/>
      </w:pPr>
    </w:p>
    <w:p>
      <w:pPr>
        <w:spacing w:before="0"/>
        <w:ind w:left="114" w:right="0" w:firstLine="0"/>
        <w:jc w:val="both"/>
        <w:rPr>
          <w:sz w:val="24"/>
        </w:rPr>
      </w:pPr>
      <w:r>
        <w:rPr>
          <w:i/>
          <w:sz w:val="24"/>
        </w:rPr>
        <w:t>Article 7 </w:t>
      </w:r>
      <w:r>
        <w:rPr>
          <w:sz w:val="24"/>
        </w:rPr>
        <w:t>: L'assemblée générale.</w:t>
      </w:r>
    </w:p>
    <w:p>
      <w:pPr>
        <w:pStyle w:val="BodyText"/>
        <w:spacing w:before="4"/>
        <w:ind w:left="0"/>
        <w:jc w:val="left"/>
      </w:pPr>
    </w:p>
    <w:p>
      <w:pPr>
        <w:pStyle w:val="BodyText"/>
        <w:spacing w:before="1"/>
        <w:ind w:right="223"/>
      </w:pPr>
      <w:r>
        <w:rPr/>
        <w:t>L'assemblée générale des membres de l'association se réunit sur convocation du président au moins une fois au cours de la période mentionnée à l'article 4 et en tout état de cause, avant la remise définitive des comptes au candidat.</w:t>
      </w:r>
    </w:p>
    <w:p>
      <w:pPr>
        <w:pStyle w:val="BodyText"/>
        <w:ind w:right="138"/>
      </w:pPr>
      <w:r>
        <w:rPr/>
        <w:t>L'assemblée générale examine les points inscrits à l'ordre du jour établi par le bureau. Elle entend le rapport d'activité présenté par le bureau et examine les comptes que le trésorier soumet à son</w:t>
      </w:r>
      <w:r>
        <w:rPr>
          <w:spacing w:val="-28"/>
        </w:rPr>
        <w:t> </w:t>
      </w:r>
      <w:r>
        <w:rPr/>
        <w:t>approbation.</w:t>
      </w:r>
    </w:p>
    <w:p>
      <w:pPr>
        <w:pStyle w:val="BodyText"/>
        <w:ind w:right="110"/>
      </w:pPr>
      <w:r>
        <w:rPr/>
        <w:t>L'assemblée générale se prononce à la majorité simple des voix des membres présents ou représentés.</w:t>
      </w:r>
    </w:p>
    <w:p>
      <w:pPr>
        <w:pStyle w:val="BodyText"/>
        <w:ind w:left="0"/>
        <w:jc w:val="left"/>
      </w:pPr>
    </w:p>
    <w:p>
      <w:pPr>
        <w:spacing w:before="0"/>
        <w:ind w:left="114" w:right="0" w:firstLine="0"/>
        <w:jc w:val="both"/>
        <w:rPr>
          <w:sz w:val="24"/>
        </w:rPr>
      </w:pPr>
      <w:r>
        <w:rPr>
          <w:i/>
          <w:sz w:val="24"/>
        </w:rPr>
        <w:t>Article 8 </w:t>
      </w:r>
      <w:r>
        <w:rPr>
          <w:sz w:val="24"/>
        </w:rPr>
        <w:t>: Compte unique.</w:t>
      </w:r>
    </w:p>
    <w:p>
      <w:pPr>
        <w:pStyle w:val="BodyText"/>
        <w:spacing w:before="8"/>
        <w:ind w:left="0"/>
        <w:jc w:val="left"/>
      </w:pPr>
    </w:p>
    <w:p>
      <w:pPr>
        <w:pStyle w:val="BodyText"/>
        <w:ind w:right="259"/>
      </w:pPr>
      <w:r>
        <w:rPr/>
        <w:t>L'association s'engage à ouvrir un compte bancaire ou postal unique sur lequel sont versés tous les fonds destinés au financement de la campagne du candidat ci-dessus désigné et à partir duquel sont réglées toutes les dépenses occasionnées par sa campagne à l'exception des dépenses directement prises en charge par un parti ou groupement politique.</w:t>
      </w:r>
    </w:p>
    <w:p>
      <w:pPr>
        <w:pStyle w:val="BodyText"/>
        <w:spacing w:before="4"/>
        <w:ind w:left="0"/>
        <w:jc w:val="left"/>
      </w:pPr>
    </w:p>
    <w:p>
      <w:pPr>
        <w:spacing w:before="1"/>
        <w:ind w:left="114" w:right="0" w:firstLine="0"/>
        <w:jc w:val="both"/>
        <w:rPr>
          <w:sz w:val="24"/>
        </w:rPr>
      </w:pPr>
      <w:r>
        <w:rPr>
          <w:i/>
          <w:sz w:val="24"/>
        </w:rPr>
        <w:t>Article 9 </w:t>
      </w:r>
      <w:r>
        <w:rPr>
          <w:sz w:val="24"/>
        </w:rPr>
        <w:t>: Ressources et dépenses.</w:t>
      </w:r>
    </w:p>
    <w:p>
      <w:pPr>
        <w:pStyle w:val="BodyText"/>
        <w:ind w:left="0"/>
        <w:jc w:val="left"/>
      </w:pPr>
    </w:p>
    <w:p>
      <w:pPr>
        <w:pStyle w:val="BodyText"/>
        <w:ind w:right="110"/>
      </w:pPr>
      <w:r>
        <w:rPr/>
        <w:t>L'association ne peut recevoir de fonds que pendant les six mois précédant le premier jour du mois de l'élection et jusqu'à la date du dépôt du compte de campagne du candidat, selon les dispositions de l’article L.52-4 du code électoral.  </w:t>
      </w:r>
      <w:r>
        <w:rPr>
          <w:spacing w:val="-5"/>
        </w:rPr>
        <w:t>Les  </w:t>
      </w:r>
      <w:r>
        <w:rPr/>
        <w:t>ressources  détenues par l'association pour</w:t>
      </w:r>
      <w:r>
        <w:rPr>
          <w:spacing w:val="-9"/>
        </w:rPr>
        <w:t> </w:t>
      </w:r>
      <w:r>
        <w:rPr/>
        <w:t>le</w:t>
      </w:r>
      <w:r>
        <w:rPr>
          <w:spacing w:val="-9"/>
        </w:rPr>
        <w:t> </w:t>
      </w:r>
      <w:r>
        <w:rPr/>
        <w:t>compte</w:t>
      </w:r>
      <w:r>
        <w:rPr>
          <w:spacing w:val="-8"/>
        </w:rPr>
        <w:t> </w:t>
      </w:r>
      <w:r>
        <w:rPr/>
        <w:t>du</w:t>
      </w:r>
      <w:r>
        <w:rPr>
          <w:spacing w:val="-8"/>
        </w:rPr>
        <w:t> </w:t>
      </w:r>
      <w:r>
        <w:rPr/>
        <w:t>candidat</w:t>
      </w:r>
      <w:r>
        <w:rPr>
          <w:spacing w:val="-7"/>
        </w:rPr>
        <w:t> </w:t>
      </w:r>
      <w:r>
        <w:rPr/>
        <w:t>comprennent</w:t>
      </w:r>
      <w:r>
        <w:rPr>
          <w:spacing w:val="-8"/>
        </w:rPr>
        <w:t> </w:t>
      </w:r>
      <w:r>
        <w:rPr/>
        <w:t>notamment</w:t>
      </w:r>
      <w:r>
        <w:rPr>
          <w:spacing w:val="-7"/>
        </w:rPr>
        <w:t> </w:t>
      </w:r>
      <w:r>
        <w:rPr/>
        <w:t>:</w:t>
      </w:r>
    </w:p>
    <w:p>
      <w:pPr>
        <w:pStyle w:val="ListParagraph"/>
        <w:numPr>
          <w:ilvl w:val="0"/>
          <w:numId w:val="1"/>
        </w:numPr>
        <w:tabs>
          <w:tab w:pos="307" w:val="left" w:leader="none"/>
        </w:tabs>
        <w:spacing w:line="240" w:lineRule="auto" w:before="0" w:after="0"/>
        <w:ind w:left="114" w:right="139" w:firstLine="0"/>
        <w:jc w:val="both"/>
        <w:rPr>
          <w:sz w:val="24"/>
        </w:rPr>
      </w:pPr>
      <w:r>
        <w:rPr>
          <w:sz w:val="24"/>
        </w:rPr>
        <w:t>les dons des personnes physiques soumis aux conditions de plafonnement, de forme et d'interdiction</w:t>
      </w:r>
      <w:r>
        <w:rPr>
          <w:spacing w:val="-6"/>
          <w:sz w:val="24"/>
        </w:rPr>
        <w:t> </w:t>
      </w:r>
      <w:r>
        <w:rPr>
          <w:sz w:val="24"/>
        </w:rPr>
        <w:t>des</w:t>
      </w:r>
      <w:r>
        <w:rPr>
          <w:spacing w:val="-3"/>
          <w:sz w:val="24"/>
        </w:rPr>
        <w:t> </w:t>
      </w:r>
      <w:r>
        <w:rPr>
          <w:sz w:val="24"/>
        </w:rPr>
        <w:t>articles</w:t>
      </w:r>
      <w:r>
        <w:rPr>
          <w:spacing w:val="-4"/>
          <w:sz w:val="24"/>
        </w:rPr>
        <w:t> </w:t>
      </w:r>
      <w:r>
        <w:rPr>
          <w:spacing w:val="-7"/>
          <w:sz w:val="24"/>
        </w:rPr>
        <w:t>L.</w:t>
      </w:r>
      <w:r>
        <w:rPr>
          <w:spacing w:val="-3"/>
          <w:sz w:val="24"/>
        </w:rPr>
        <w:t> </w:t>
      </w:r>
      <w:r>
        <w:rPr>
          <w:sz w:val="24"/>
        </w:rPr>
        <w:t>52-8,</w:t>
      </w:r>
      <w:r>
        <w:rPr>
          <w:spacing w:val="3"/>
          <w:sz w:val="24"/>
        </w:rPr>
        <w:t> </w:t>
      </w:r>
      <w:r>
        <w:rPr>
          <w:spacing w:val="-5"/>
          <w:sz w:val="24"/>
        </w:rPr>
        <w:t>L. </w:t>
      </w:r>
      <w:r>
        <w:rPr>
          <w:sz w:val="24"/>
        </w:rPr>
        <w:t>52-10,</w:t>
      </w:r>
      <w:r>
        <w:rPr>
          <w:spacing w:val="-6"/>
          <w:sz w:val="24"/>
        </w:rPr>
        <w:t> </w:t>
      </w:r>
      <w:r>
        <w:rPr>
          <w:sz w:val="24"/>
        </w:rPr>
        <w:t>R</w:t>
      </w:r>
      <w:r>
        <w:rPr>
          <w:spacing w:val="-5"/>
          <w:sz w:val="24"/>
        </w:rPr>
        <w:t> </w:t>
      </w:r>
      <w:r>
        <w:rPr>
          <w:sz w:val="24"/>
        </w:rPr>
        <w:t>39-1</w:t>
      </w:r>
      <w:r>
        <w:rPr>
          <w:spacing w:val="-1"/>
          <w:sz w:val="24"/>
        </w:rPr>
        <w:t> </w:t>
      </w:r>
      <w:r>
        <w:rPr>
          <w:sz w:val="24"/>
        </w:rPr>
        <w:t>et</w:t>
      </w:r>
      <w:r>
        <w:rPr>
          <w:spacing w:val="-5"/>
          <w:sz w:val="24"/>
        </w:rPr>
        <w:t> </w:t>
      </w:r>
      <w:r>
        <w:rPr>
          <w:sz w:val="24"/>
        </w:rPr>
        <w:t>R.</w:t>
      </w:r>
      <w:r>
        <w:rPr>
          <w:spacing w:val="-6"/>
          <w:sz w:val="24"/>
        </w:rPr>
        <w:t> </w:t>
      </w:r>
      <w:r>
        <w:rPr>
          <w:sz w:val="24"/>
        </w:rPr>
        <w:t>39-2</w:t>
      </w:r>
      <w:r>
        <w:rPr>
          <w:spacing w:val="-5"/>
          <w:sz w:val="24"/>
        </w:rPr>
        <w:t> </w:t>
      </w:r>
      <w:r>
        <w:rPr>
          <w:sz w:val="24"/>
        </w:rPr>
        <w:t>du</w:t>
      </w:r>
      <w:r>
        <w:rPr>
          <w:spacing w:val="-6"/>
          <w:sz w:val="24"/>
        </w:rPr>
        <w:t> </w:t>
      </w:r>
      <w:r>
        <w:rPr>
          <w:sz w:val="24"/>
        </w:rPr>
        <w:t>code</w:t>
      </w:r>
      <w:r>
        <w:rPr>
          <w:spacing w:val="-9"/>
          <w:sz w:val="24"/>
        </w:rPr>
        <w:t> </w:t>
      </w:r>
      <w:r>
        <w:rPr>
          <w:sz w:val="24"/>
        </w:rPr>
        <w:t>électoral</w:t>
      </w:r>
      <w:r>
        <w:rPr>
          <w:spacing w:val="-6"/>
          <w:sz w:val="24"/>
        </w:rPr>
        <w:t> </w:t>
      </w:r>
      <w:r>
        <w:rPr>
          <w:sz w:val="24"/>
        </w:rPr>
        <w:t>;</w:t>
      </w:r>
    </w:p>
    <w:p>
      <w:pPr>
        <w:pStyle w:val="ListParagraph"/>
        <w:numPr>
          <w:ilvl w:val="0"/>
          <w:numId w:val="1"/>
        </w:numPr>
        <w:tabs>
          <w:tab w:pos="251" w:val="left" w:leader="none"/>
        </w:tabs>
        <w:spacing w:line="240" w:lineRule="auto" w:before="0" w:after="0"/>
        <w:ind w:left="250" w:right="0" w:hanging="137"/>
        <w:jc w:val="both"/>
        <w:rPr>
          <w:sz w:val="24"/>
        </w:rPr>
      </w:pPr>
      <w:r>
        <w:rPr>
          <w:sz w:val="24"/>
        </w:rPr>
        <w:t>les contributions des partis politiques</w:t>
      </w:r>
      <w:r>
        <w:rPr>
          <w:spacing w:val="-36"/>
          <w:sz w:val="24"/>
        </w:rPr>
        <w:t> </w:t>
      </w:r>
      <w:r>
        <w:rPr>
          <w:sz w:val="24"/>
        </w:rPr>
        <w:t>;</w:t>
      </w:r>
    </w:p>
    <w:p>
      <w:pPr>
        <w:pStyle w:val="ListParagraph"/>
        <w:numPr>
          <w:ilvl w:val="0"/>
          <w:numId w:val="1"/>
        </w:numPr>
        <w:tabs>
          <w:tab w:pos="251" w:val="left" w:leader="none"/>
        </w:tabs>
        <w:spacing w:line="240" w:lineRule="auto" w:before="0" w:after="0"/>
        <w:ind w:left="250" w:right="0" w:hanging="137"/>
        <w:jc w:val="both"/>
        <w:rPr>
          <w:sz w:val="24"/>
        </w:rPr>
      </w:pPr>
      <w:r>
        <w:rPr>
          <w:sz w:val="24"/>
        </w:rPr>
        <w:t>les apports personnels du ou des candidats</w:t>
      </w:r>
      <w:r>
        <w:rPr>
          <w:spacing w:val="-42"/>
          <w:sz w:val="24"/>
        </w:rPr>
        <w:t> </w:t>
      </w:r>
      <w:r>
        <w:rPr>
          <w:sz w:val="24"/>
        </w:rPr>
        <w:t>;</w:t>
      </w:r>
    </w:p>
    <w:p>
      <w:pPr>
        <w:pStyle w:val="ListParagraph"/>
        <w:numPr>
          <w:ilvl w:val="0"/>
          <w:numId w:val="1"/>
        </w:numPr>
        <w:tabs>
          <w:tab w:pos="251" w:val="left" w:leader="none"/>
        </w:tabs>
        <w:spacing w:line="240" w:lineRule="auto" w:before="0" w:after="0"/>
        <w:ind w:left="250" w:right="0" w:hanging="137"/>
        <w:jc w:val="both"/>
        <w:rPr>
          <w:sz w:val="24"/>
        </w:rPr>
      </w:pPr>
      <w:r>
        <w:rPr>
          <w:sz w:val="24"/>
        </w:rPr>
        <w:t>le</w:t>
      </w:r>
      <w:r>
        <w:rPr>
          <w:spacing w:val="-10"/>
          <w:sz w:val="24"/>
        </w:rPr>
        <w:t> </w:t>
      </w:r>
      <w:r>
        <w:rPr>
          <w:sz w:val="24"/>
        </w:rPr>
        <w:t>produit</w:t>
      </w:r>
      <w:r>
        <w:rPr>
          <w:spacing w:val="-7"/>
          <w:sz w:val="24"/>
        </w:rPr>
        <w:t> </w:t>
      </w:r>
      <w:r>
        <w:rPr>
          <w:sz w:val="24"/>
        </w:rPr>
        <w:t>des</w:t>
      </w:r>
      <w:r>
        <w:rPr>
          <w:spacing w:val="-7"/>
          <w:sz w:val="24"/>
        </w:rPr>
        <w:t> </w:t>
      </w:r>
      <w:r>
        <w:rPr>
          <w:sz w:val="24"/>
        </w:rPr>
        <w:t>ventes</w:t>
      </w:r>
      <w:r>
        <w:rPr>
          <w:spacing w:val="-5"/>
          <w:sz w:val="24"/>
        </w:rPr>
        <w:t> </w:t>
      </w:r>
      <w:r>
        <w:rPr>
          <w:sz w:val="24"/>
        </w:rPr>
        <w:t>et</w:t>
      </w:r>
      <w:r>
        <w:rPr>
          <w:spacing w:val="-9"/>
          <w:sz w:val="24"/>
        </w:rPr>
        <w:t> </w:t>
      </w:r>
      <w:r>
        <w:rPr>
          <w:sz w:val="24"/>
        </w:rPr>
        <w:t>opérations</w:t>
      </w:r>
      <w:r>
        <w:rPr>
          <w:spacing w:val="-7"/>
          <w:sz w:val="24"/>
        </w:rPr>
        <w:t> </w:t>
      </w:r>
      <w:r>
        <w:rPr>
          <w:sz w:val="24"/>
        </w:rPr>
        <w:t>financières.</w:t>
      </w:r>
    </w:p>
    <w:p>
      <w:pPr>
        <w:pStyle w:val="BodyText"/>
        <w:ind w:right="115"/>
      </w:pPr>
      <w:r>
        <w:rPr>
          <w:spacing w:val="-3"/>
        </w:rPr>
        <w:t>Les </w:t>
      </w:r>
      <w:r>
        <w:rPr/>
        <w:t>dépenses de l'association sont exclusivement celles engagées en vue de l'élection du candidat</w:t>
      </w:r>
      <w:r>
        <w:rPr>
          <w:spacing w:val="-8"/>
        </w:rPr>
        <w:t> </w:t>
      </w:r>
      <w:r>
        <w:rPr/>
        <w:t>et</w:t>
      </w:r>
      <w:r>
        <w:rPr>
          <w:spacing w:val="-6"/>
        </w:rPr>
        <w:t> </w:t>
      </w:r>
      <w:r>
        <w:rPr/>
        <w:t>sont</w:t>
      </w:r>
      <w:r>
        <w:rPr>
          <w:spacing w:val="-6"/>
        </w:rPr>
        <w:t> </w:t>
      </w:r>
      <w:r>
        <w:rPr/>
        <w:t>prises</w:t>
      </w:r>
      <w:r>
        <w:rPr>
          <w:spacing w:val="-8"/>
        </w:rPr>
        <w:t> </w:t>
      </w:r>
      <w:r>
        <w:rPr/>
        <w:t>en</w:t>
      </w:r>
      <w:r>
        <w:rPr>
          <w:spacing w:val="-8"/>
        </w:rPr>
        <w:t> </w:t>
      </w:r>
      <w:r>
        <w:rPr/>
        <w:t>considération</w:t>
      </w:r>
      <w:r>
        <w:rPr>
          <w:spacing w:val="-8"/>
        </w:rPr>
        <w:t> </w:t>
      </w:r>
      <w:r>
        <w:rPr/>
        <w:t>pour</w:t>
      </w:r>
      <w:r>
        <w:rPr>
          <w:spacing w:val="-8"/>
        </w:rPr>
        <w:t> </w:t>
      </w:r>
      <w:r>
        <w:rPr/>
        <w:t>le</w:t>
      </w:r>
      <w:r>
        <w:rPr>
          <w:spacing w:val="-10"/>
        </w:rPr>
        <w:t> </w:t>
      </w:r>
      <w:r>
        <w:rPr/>
        <w:t>calcul</w:t>
      </w:r>
      <w:r>
        <w:rPr>
          <w:spacing w:val="-8"/>
        </w:rPr>
        <w:t> </w:t>
      </w:r>
      <w:r>
        <w:rPr/>
        <w:t>du</w:t>
      </w:r>
      <w:r>
        <w:rPr>
          <w:spacing w:val="-6"/>
        </w:rPr>
        <w:t> </w:t>
      </w:r>
      <w:r>
        <w:rPr/>
        <w:t>plafond</w:t>
      </w:r>
      <w:r>
        <w:rPr>
          <w:spacing w:val="-6"/>
        </w:rPr>
        <w:t> </w:t>
      </w:r>
      <w:r>
        <w:rPr/>
        <w:t>des</w:t>
      </w:r>
      <w:r>
        <w:rPr>
          <w:spacing w:val="-8"/>
        </w:rPr>
        <w:t> </w:t>
      </w:r>
      <w:r>
        <w:rPr/>
        <w:t>dépenses</w:t>
      </w:r>
      <w:r>
        <w:rPr>
          <w:spacing w:val="-5"/>
        </w:rPr>
        <w:t> </w:t>
      </w:r>
      <w:r>
        <w:rPr/>
        <w:t>fixé</w:t>
      </w:r>
      <w:r>
        <w:rPr>
          <w:spacing w:val="-10"/>
        </w:rPr>
        <w:t> </w:t>
      </w:r>
      <w:r>
        <w:rPr/>
        <w:t>à</w:t>
      </w:r>
      <w:r>
        <w:rPr>
          <w:spacing w:val="-10"/>
        </w:rPr>
        <w:t> </w:t>
      </w:r>
      <w:r>
        <w:rPr/>
        <w:t>l'article</w:t>
      </w:r>
    </w:p>
    <w:p>
      <w:pPr>
        <w:pStyle w:val="BodyText"/>
      </w:pPr>
      <w:r>
        <w:rPr/>
        <w:t>L. 52-11 du code électoral.</w:t>
      </w:r>
    </w:p>
    <w:p>
      <w:pPr>
        <w:pStyle w:val="BodyText"/>
        <w:spacing w:before="6"/>
        <w:ind w:left="0"/>
        <w:jc w:val="left"/>
      </w:pPr>
    </w:p>
    <w:p>
      <w:pPr>
        <w:spacing w:before="0"/>
        <w:ind w:left="114" w:right="0" w:firstLine="0"/>
        <w:jc w:val="both"/>
        <w:rPr>
          <w:sz w:val="24"/>
        </w:rPr>
      </w:pPr>
      <w:r>
        <w:rPr>
          <w:i/>
          <w:sz w:val="24"/>
        </w:rPr>
        <w:t>Article 10 </w:t>
      </w:r>
      <w:r>
        <w:rPr>
          <w:sz w:val="24"/>
        </w:rPr>
        <w:t>: Délivrance des reçus-dons.</w:t>
      </w:r>
    </w:p>
    <w:p>
      <w:pPr>
        <w:pStyle w:val="BodyText"/>
        <w:spacing w:before="2"/>
        <w:ind w:left="0"/>
        <w:jc w:val="left"/>
      </w:pPr>
    </w:p>
    <w:p>
      <w:pPr>
        <w:pStyle w:val="BodyText"/>
        <w:ind w:right="213"/>
      </w:pPr>
      <w:r>
        <w:rPr/>
        <w:t>L'association de financement délivre aux donateurs un reçu détaché d'une formule numérotée éditée par la Commission nationale des comptes de campagne et des financements politiques</w:t>
      </w:r>
      <w:r>
        <w:rPr>
          <w:spacing w:val="-41"/>
        </w:rPr>
        <w:t> </w:t>
      </w:r>
      <w:r>
        <w:rPr/>
        <w:t>en application des articles </w:t>
      </w:r>
      <w:r>
        <w:rPr>
          <w:spacing w:val="-3"/>
        </w:rPr>
        <w:t>L. </w:t>
      </w:r>
      <w:r>
        <w:rPr/>
        <w:t>52-10 et R.39-1 du code électoral. </w:t>
      </w:r>
      <w:r>
        <w:rPr>
          <w:spacing w:val="-5"/>
        </w:rPr>
        <w:t>Les </w:t>
      </w:r>
      <w:r>
        <w:rPr/>
        <w:t>liasses des formules numérotées sont délivrées à l'association par la préfecture en fonction de ses demandes. Les souches des reçus utilisés sont jointes au compte de campagne déposé à la Commission nationale des comptes de campagnes et des financements politiques, accompagnées d’un relevé du  compte bancaire unique  ouvert  par  le  mandataire,  attestant  la  réalité  de  l’encaissement des fonds correspondants. </w:t>
      </w:r>
      <w:r>
        <w:rPr>
          <w:spacing w:val="-3"/>
        </w:rPr>
        <w:t>Les </w:t>
      </w:r>
      <w:r>
        <w:rPr/>
        <w:t>liasses non utilisées à la date de dépôt du  compte devront être retournées à la Commission nationale des comptes de campagne et des financements</w:t>
      </w:r>
      <w:r>
        <w:rPr>
          <w:spacing w:val="-1"/>
        </w:rPr>
        <w:t> </w:t>
      </w:r>
      <w:r>
        <w:rPr/>
        <w:t>politiques.</w:t>
      </w:r>
    </w:p>
    <w:p>
      <w:pPr>
        <w:spacing w:after="0"/>
        <w:sectPr>
          <w:pgSz w:w="11900" w:h="16860"/>
          <w:pgMar w:top="680" w:bottom="280" w:left="1300" w:right="1100"/>
        </w:sectPr>
      </w:pPr>
    </w:p>
    <w:p>
      <w:pPr>
        <w:spacing w:before="64"/>
        <w:ind w:left="114" w:right="0" w:firstLine="0"/>
        <w:jc w:val="both"/>
        <w:rPr>
          <w:sz w:val="24"/>
        </w:rPr>
      </w:pPr>
      <w:r>
        <w:rPr>
          <w:i/>
          <w:sz w:val="24"/>
        </w:rPr>
        <w:t>Article 11 </w:t>
      </w:r>
      <w:r>
        <w:rPr>
          <w:sz w:val="24"/>
        </w:rPr>
        <w:t>: Comptes de l'association.</w:t>
      </w:r>
    </w:p>
    <w:p>
      <w:pPr>
        <w:pStyle w:val="BodyText"/>
        <w:spacing w:before="67"/>
        <w:ind w:right="272"/>
      </w:pPr>
      <w:r>
        <w:rPr/>
        <w:t>Les comptes de l'association retraçant les dépenses par nature et les recettes par origine sont remis au candidat pour être annexés à son compte de campagne ou au compte de campagne de la liste sur laquelle il figure.</w:t>
      </w:r>
    </w:p>
    <w:p>
      <w:pPr>
        <w:pStyle w:val="BodyText"/>
        <w:ind w:right="213"/>
      </w:pPr>
      <w:r>
        <w:rPr/>
        <w:t>Ces comptes sont accompagnés des pièces justificatives des dépenses et des recettes et notamment de la liste nominative des dons des personnes physiques, de la liste des contributions versées par le ou les parti(s) politiques(s), de la liste détaillée des contributions personnelles du ou des candidat(s), de la liste des concours en nature, des relevés du compte bancaire ou postal et de la copie des chèques remis à l'encaissement supérieurs à 150 €. A ces comptes sont également jointes les liasses de reçus-dons, même non utilisées, qui ont été délivrées à l'association de financement par la préfecture.</w:t>
      </w:r>
    </w:p>
    <w:p>
      <w:pPr>
        <w:pStyle w:val="BodyText"/>
        <w:spacing w:before="5"/>
        <w:ind w:left="0"/>
        <w:jc w:val="left"/>
      </w:pPr>
    </w:p>
    <w:p>
      <w:pPr>
        <w:spacing w:before="0"/>
        <w:ind w:left="114" w:right="0" w:firstLine="0"/>
        <w:jc w:val="both"/>
        <w:rPr>
          <w:sz w:val="24"/>
        </w:rPr>
      </w:pPr>
      <w:r>
        <w:rPr>
          <w:i/>
          <w:sz w:val="24"/>
        </w:rPr>
        <w:t>Article 12 </w:t>
      </w:r>
      <w:r>
        <w:rPr>
          <w:sz w:val="24"/>
        </w:rPr>
        <w:t>: Désignation d’un nouveau mandataire.</w:t>
      </w:r>
    </w:p>
    <w:p>
      <w:pPr>
        <w:pStyle w:val="BodyText"/>
        <w:spacing w:before="5"/>
        <w:ind w:left="0"/>
        <w:jc w:val="left"/>
      </w:pPr>
    </w:p>
    <w:p>
      <w:pPr>
        <w:pStyle w:val="BodyText"/>
        <w:ind w:right="282"/>
      </w:pPr>
      <w:r>
        <w:rPr>
          <w:spacing w:val="-4"/>
        </w:rPr>
        <w:t>Le </w:t>
      </w:r>
      <w:r>
        <w:rPr/>
        <w:t>candidat (ou le candidat tête de liste) peut mettre fin aux fonctions de l'association de financement en retirant son accord à celle-ci, par écrit, auprès de la préfecture du lieu de déclaration de</w:t>
      </w:r>
      <w:r>
        <w:rPr>
          <w:spacing w:val="-29"/>
        </w:rPr>
        <w:t> </w:t>
      </w:r>
      <w:r>
        <w:rPr/>
        <w:t>l'association.</w:t>
      </w:r>
    </w:p>
    <w:p>
      <w:pPr>
        <w:pStyle w:val="BodyText"/>
        <w:spacing w:before="1"/>
        <w:ind w:right="282"/>
      </w:pPr>
      <w:r>
        <w:rPr/>
        <w:t>Dans ce cas le compte bancaire ou postal unique de l'association est bloqué jusqu'à désignation d'un nouveau mandataire financier ou délivrance d'un nouvel accord à une autre association de</w:t>
      </w:r>
      <w:r>
        <w:rPr>
          <w:spacing w:val="-29"/>
        </w:rPr>
        <w:t> </w:t>
      </w:r>
      <w:r>
        <w:rPr/>
        <w:t>financement.</w:t>
      </w:r>
    </w:p>
    <w:p>
      <w:pPr>
        <w:pStyle w:val="BodyText"/>
        <w:ind w:left="0"/>
        <w:jc w:val="left"/>
      </w:pPr>
    </w:p>
    <w:p>
      <w:pPr>
        <w:spacing w:before="0"/>
        <w:ind w:left="114" w:right="0" w:firstLine="0"/>
        <w:jc w:val="both"/>
        <w:rPr>
          <w:sz w:val="24"/>
        </w:rPr>
      </w:pPr>
      <w:r>
        <w:rPr>
          <w:i/>
          <w:sz w:val="24"/>
        </w:rPr>
        <w:t>Article 13 </w:t>
      </w:r>
      <w:r>
        <w:rPr>
          <w:sz w:val="24"/>
        </w:rPr>
        <w:t>: Dissolution.</w:t>
      </w:r>
    </w:p>
    <w:p>
      <w:pPr>
        <w:pStyle w:val="BodyText"/>
        <w:spacing w:before="7"/>
        <w:ind w:left="0"/>
        <w:jc w:val="left"/>
      </w:pPr>
    </w:p>
    <w:p>
      <w:pPr>
        <w:pStyle w:val="BodyText"/>
        <w:ind w:right="284"/>
      </w:pPr>
      <w:r>
        <w:rPr/>
        <w:t>La dissolution de l'association a lieu de plein droit s i x mois après le dépôt du compte de campagne du candidat qui doit intervenir au plus tard avant dix-huit heures le dixième vendredi suivant le tour de scrutin où l'élection a été acquise. Les comptes de l'association tels que prévus à l'article 11 sont remis au candidat.</w:t>
      </w:r>
    </w:p>
    <w:p>
      <w:pPr>
        <w:pStyle w:val="BodyText"/>
        <w:spacing w:before="3"/>
        <w:ind w:left="0"/>
        <w:jc w:val="left"/>
      </w:pPr>
    </w:p>
    <w:p>
      <w:pPr>
        <w:pStyle w:val="BodyText"/>
        <w:spacing w:line="237" w:lineRule="auto"/>
        <w:ind w:right="311"/>
      </w:pPr>
      <w:r>
        <w:rPr/>
        <w:t>Si le candidat n'a pas déposé sa candidature, l'association est dissoute de plein droit à l'expiration du délai </w:t>
      </w:r>
      <w:r>
        <w:rPr>
          <w:spacing w:val="-3"/>
        </w:rPr>
        <w:t>légal </w:t>
      </w:r>
      <w:r>
        <w:rPr/>
        <w:t>de dépôt des candidatures conformément aux dispositions de l'article </w:t>
      </w:r>
      <w:r>
        <w:rPr>
          <w:spacing w:val="-5"/>
        </w:rPr>
        <w:t>L. </w:t>
      </w:r>
      <w:r>
        <w:rPr/>
        <w:t>52-5 du Code électoral. Elle remet dans ce </w:t>
      </w:r>
      <w:r>
        <w:rPr>
          <w:spacing w:val="2"/>
        </w:rPr>
        <w:t>cas, </w:t>
      </w:r>
      <w:r>
        <w:rPr/>
        <w:t>à </w:t>
      </w:r>
      <w:r>
        <w:rPr>
          <w:spacing w:val="2"/>
        </w:rPr>
        <w:t>la </w:t>
      </w:r>
      <w:r>
        <w:rPr/>
        <w:t>préfecture, les liasses des formules </w:t>
      </w:r>
      <w:r>
        <w:rPr>
          <w:spacing w:val="2"/>
        </w:rPr>
        <w:t>numérotées qui </w:t>
      </w:r>
      <w:r>
        <w:rPr/>
        <w:t>lui ont été </w:t>
      </w:r>
      <w:r>
        <w:rPr>
          <w:spacing w:val="2"/>
        </w:rPr>
        <w:t>délivrées </w:t>
      </w:r>
      <w:r>
        <w:rPr/>
        <w:t>et informe les </w:t>
      </w:r>
      <w:r>
        <w:rPr>
          <w:spacing w:val="2"/>
        </w:rPr>
        <w:t>donateurs </w:t>
      </w:r>
      <w:r>
        <w:rPr/>
        <w:t>qu'en application de </w:t>
      </w:r>
      <w:r>
        <w:rPr>
          <w:spacing w:val="2"/>
        </w:rPr>
        <w:t>l'article 200 </w:t>
      </w:r>
      <w:r>
        <w:rPr/>
        <w:t>du code général des </w:t>
      </w:r>
      <w:r>
        <w:rPr>
          <w:spacing w:val="2"/>
        </w:rPr>
        <w:t>impôts, </w:t>
      </w:r>
      <w:r>
        <w:rPr/>
        <w:t>les dons consentis et qui ont donné lieu  à  </w:t>
      </w:r>
      <w:r>
        <w:rPr>
          <w:spacing w:val="2"/>
        </w:rPr>
        <w:t>délivrance </w:t>
      </w:r>
      <w:r>
        <w:rPr/>
        <w:t>d'un reçu, ne </w:t>
      </w:r>
      <w:r>
        <w:rPr>
          <w:spacing w:val="2"/>
        </w:rPr>
        <w:t>bénéficient </w:t>
      </w:r>
      <w:r>
        <w:rPr/>
        <w:t>pas de </w:t>
      </w:r>
      <w:r>
        <w:rPr>
          <w:spacing w:val="2"/>
        </w:rPr>
        <w:t>l'avantage fiscal</w:t>
      </w:r>
      <w:r>
        <w:rPr>
          <w:spacing w:val="42"/>
        </w:rPr>
        <w:t> </w:t>
      </w:r>
      <w:r>
        <w:rPr/>
        <w:t>prévu.</w:t>
      </w:r>
    </w:p>
    <w:p>
      <w:pPr>
        <w:pStyle w:val="BodyText"/>
        <w:spacing w:before="5"/>
        <w:ind w:left="0"/>
        <w:jc w:val="left"/>
      </w:pPr>
    </w:p>
    <w:p>
      <w:pPr>
        <w:pStyle w:val="BodyText"/>
        <w:ind w:right="311"/>
      </w:pPr>
      <w:r>
        <w:rPr/>
        <w:t>Avant sa dissolution, l'association se prononce sur la dévolution de son actif net soit à une association de financement ou au mandataire financier d'un parti politique, soit à un ou plusieurs établissements reconnus d'utilité publique. Elle justifie de cette opération auprès de la préfecture.</w:t>
      </w:r>
    </w:p>
    <w:sectPr>
      <w:pgSz w:w="11900" w:h="16860"/>
      <w:pgMar w:top="1260" w:bottom="280" w:left="13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4" w:hanging="137"/>
      </w:pPr>
      <w:rPr>
        <w:rFonts w:hint="default" w:ascii="Times New Roman" w:hAnsi="Times New Roman" w:eastAsia="Times New Roman" w:cs="Times New Roman"/>
        <w:w w:val="99"/>
        <w:sz w:val="24"/>
        <w:szCs w:val="24"/>
        <w:lang w:val="fr-FR" w:eastAsia="fr-FR" w:bidi="fr-FR"/>
      </w:rPr>
    </w:lvl>
    <w:lvl w:ilvl="1">
      <w:start w:val="0"/>
      <w:numFmt w:val="bullet"/>
      <w:lvlText w:val="•"/>
      <w:lvlJc w:val="left"/>
      <w:pPr>
        <w:ind w:left="1057" w:hanging="137"/>
      </w:pPr>
      <w:rPr>
        <w:rFonts w:hint="default"/>
        <w:lang w:val="fr-FR" w:eastAsia="fr-FR" w:bidi="fr-FR"/>
      </w:rPr>
    </w:lvl>
    <w:lvl w:ilvl="2">
      <w:start w:val="0"/>
      <w:numFmt w:val="bullet"/>
      <w:lvlText w:val="•"/>
      <w:lvlJc w:val="left"/>
      <w:pPr>
        <w:ind w:left="1995" w:hanging="137"/>
      </w:pPr>
      <w:rPr>
        <w:rFonts w:hint="default"/>
        <w:lang w:val="fr-FR" w:eastAsia="fr-FR" w:bidi="fr-FR"/>
      </w:rPr>
    </w:lvl>
    <w:lvl w:ilvl="3">
      <w:start w:val="0"/>
      <w:numFmt w:val="bullet"/>
      <w:lvlText w:val="•"/>
      <w:lvlJc w:val="left"/>
      <w:pPr>
        <w:ind w:left="2933" w:hanging="137"/>
      </w:pPr>
      <w:rPr>
        <w:rFonts w:hint="default"/>
        <w:lang w:val="fr-FR" w:eastAsia="fr-FR" w:bidi="fr-FR"/>
      </w:rPr>
    </w:lvl>
    <w:lvl w:ilvl="4">
      <w:start w:val="0"/>
      <w:numFmt w:val="bullet"/>
      <w:lvlText w:val="•"/>
      <w:lvlJc w:val="left"/>
      <w:pPr>
        <w:ind w:left="3871" w:hanging="137"/>
      </w:pPr>
      <w:rPr>
        <w:rFonts w:hint="default"/>
        <w:lang w:val="fr-FR" w:eastAsia="fr-FR" w:bidi="fr-FR"/>
      </w:rPr>
    </w:lvl>
    <w:lvl w:ilvl="5">
      <w:start w:val="0"/>
      <w:numFmt w:val="bullet"/>
      <w:lvlText w:val="•"/>
      <w:lvlJc w:val="left"/>
      <w:pPr>
        <w:ind w:left="4809" w:hanging="137"/>
      </w:pPr>
      <w:rPr>
        <w:rFonts w:hint="default"/>
        <w:lang w:val="fr-FR" w:eastAsia="fr-FR" w:bidi="fr-FR"/>
      </w:rPr>
    </w:lvl>
    <w:lvl w:ilvl="6">
      <w:start w:val="0"/>
      <w:numFmt w:val="bullet"/>
      <w:lvlText w:val="•"/>
      <w:lvlJc w:val="left"/>
      <w:pPr>
        <w:ind w:left="5747" w:hanging="137"/>
      </w:pPr>
      <w:rPr>
        <w:rFonts w:hint="default"/>
        <w:lang w:val="fr-FR" w:eastAsia="fr-FR" w:bidi="fr-FR"/>
      </w:rPr>
    </w:lvl>
    <w:lvl w:ilvl="7">
      <w:start w:val="0"/>
      <w:numFmt w:val="bullet"/>
      <w:lvlText w:val="•"/>
      <w:lvlJc w:val="left"/>
      <w:pPr>
        <w:ind w:left="6685" w:hanging="137"/>
      </w:pPr>
      <w:rPr>
        <w:rFonts w:hint="default"/>
        <w:lang w:val="fr-FR" w:eastAsia="fr-FR" w:bidi="fr-FR"/>
      </w:rPr>
    </w:lvl>
    <w:lvl w:ilvl="8">
      <w:start w:val="0"/>
      <w:numFmt w:val="bullet"/>
      <w:lvlText w:val="•"/>
      <w:lvlJc w:val="left"/>
      <w:pPr>
        <w:ind w:left="7623" w:hanging="137"/>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ind w:left="114"/>
      <w:jc w:val="both"/>
    </w:pPr>
    <w:rPr>
      <w:rFonts w:ascii="Times New Roman" w:hAnsi="Times New Roman" w:eastAsia="Times New Roman" w:cs="Times New Roman"/>
      <w:sz w:val="24"/>
      <w:szCs w:val="24"/>
      <w:lang w:val="fr-FR" w:eastAsia="fr-FR" w:bidi="fr-FR"/>
    </w:rPr>
  </w:style>
  <w:style w:styleId="Heading1" w:type="paragraph">
    <w:name w:val="Heading 1"/>
    <w:basedOn w:val="Normal"/>
    <w:uiPriority w:val="1"/>
    <w:qFormat/>
    <w:pPr>
      <w:ind w:left="114"/>
      <w:outlineLvl w:val="1"/>
    </w:pPr>
    <w:rPr>
      <w:rFonts w:ascii="Times New Roman" w:hAnsi="Times New Roman" w:eastAsia="Times New Roman" w:cs="Times New Roman"/>
      <w:b/>
      <w:bCs/>
      <w:sz w:val="36"/>
      <w:szCs w:val="36"/>
      <w:lang w:val="fr-FR" w:eastAsia="fr-FR" w:bidi="fr-FR"/>
    </w:rPr>
  </w:style>
  <w:style w:styleId="ListParagraph" w:type="paragraph">
    <w:name w:val="List Paragraph"/>
    <w:basedOn w:val="Normal"/>
    <w:uiPriority w:val="1"/>
    <w:qFormat/>
    <w:pPr>
      <w:ind w:left="250" w:hanging="137"/>
      <w:jc w:val="both"/>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Azerot</dc:creator>
  <dcterms:created xsi:type="dcterms:W3CDTF">2019-09-23T15:51:12Z</dcterms:created>
  <dcterms:modified xsi:type="dcterms:W3CDTF">2019-09-23T15:51:12Z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2010</vt:lpwstr>
  </property>
  <property fmtid="{D5CDD505-2E9C-101B-9397-08002B2CF9AE}" pid="4" name="LastSaved">
    <vt:filetime>2019-09-23T00:00:00Z</vt:filetime>
  </property>
</Properties>
</file>